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163" w:rsidRDefault="001C7163" w:rsidP="001C7163">
      <w:pPr>
        <w:jc w:val="center"/>
        <w:rPr>
          <w:rFonts w:ascii="Arial" w:hAnsi="Arial" w:cs="Arial"/>
          <w:b/>
        </w:rPr>
      </w:pPr>
      <w:r w:rsidRPr="0045309E">
        <w:rPr>
          <w:rFonts w:ascii="Arial" w:hAnsi="Arial" w:cs="Arial"/>
          <w:b/>
          <w:highlight w:val="yellow"/>
        </w:rPr>
        <w:t>Case 6-1</w:t>
      </w:r>
    </w:p>
    <w:p w:rsidR="001C7163" w:rsidRPr="001C7163" w:rsidRDefault="001C7163" w:rsidP="001C7163">
      <w:pPr>
        <w:jc w:val="center"/>
        <w:rPr>
          <w:rFonts w:ascii="Arial" w:hAnsi="Arial" w:cs="Arial"/>
          <w:b/>
        </w:rPr>
      </w:pPr>
    </w:p>
    <w:p w:rsidR="001C7163" w:rsidRDefault="001C7163" w:rsidP="001C7163">
      <w:pPr>
        <w:ind w:firstLine="720"/>
      </w:pPr>
      <w:r>
        <w:t xml:space="preserve">You chair the Board of Directors at Target Corporation. After the firm released its 2014 financial statements, you are faced with an important decision. The first agenda item at the next board meeting is whether to retain or dismiss the company’s chief executive officer. As head of the board, you will introduce this issue, state your position, and moderate the ensuing discussion. As you contemplate this important recommendation, you consider the following items about your company and its industry. </w:t>
      </w:r>
    </w:p>
    <w:p w:rsidR="001C7163" w:rsidRDefault="001C7163" w:rsidP="001C7163">
      <w:pPr>
        <w:ind w:firstLine="720"/>
      </w:pPr>
      <w:r>
        <w:t>Target Corporation is a Minnesota company incorporated in 1902. Target described itself in its 2014 annual report by stating, “We offer our customers everyday essentials and fashionable differentiated merchandise at discounted prices.” Target is the second largest discount retailer in the United States behind Walmart when measured by sales revenues, total assets, and market capitalization.</w:t>
      </w:r>
    </w:p>
    <w:p w:rsidR="001C7163" w:rsidRPr="00EB7805" w:rsidRDefault="001C7163" w:rsidP="001C7163">
      <w:pPr>
        <w:ind w:firstLine="720"/>
      </w:pPr>
      <w:r w:rsidRPr="00EB7805">
        <w:t xml:space="preserve">Retailing is the economic sector that links the producer of products to end-use customers. It is the largest segment of the American economy. The totality of retail transactions constitutes about two-thirds of the gross domestic product (GDP) in the United States, according </w:t>
      </w:r>
      <w:r>
        <w:t xml:space="preserve">to U.S. Department of Commerce. </w:t>
      </w:r>
      <w:r w:rsidRPr="00EB7805">
        <w:t xml:space="preserve">Financial analysts view merchandising as a mature industry, defined by intense competition, low profit margins, and business consolidation. </w:t>
      </w:r>
    </w:p>
    <w:p w:rsidR="001C7163" w:rsidRPr="00EB7805" w:rsidRDefault="001C7163" w:rsidP="001C7163">
      <w:r w:rsidRPr="00EB7805">
        <w:tab/>
        <w:t xml:space="preserve">Numerous economic factors affect retailers. Notable among them are real changes (inflation-adjusted) in GDP, levels of disposable income, and consumer confidence. In short, people shop when they have money, and they are confident that they will have it in the future. Consequently, retailers tend to thrive during economic expansions and suffer during economic contractions. </w:t>
      </w:r>
    </w:p>
    <w:p w:rsidR="001C7163" w:rsidRDefault="001C7163" w:rsidP="001C7163">
      <w:r w:rsidRPr="00EB7805">
        <w:tab/>
      </w:r>
      <w:r>
        <w:t xml:space="preserve">The 2007-2009 </w:t>
      </w:r>
      <w:r w:rsidRPr="00EB7805">
        <w:t>economic down</w:t>
      </w:r>
      <w:r>
        <w:t xml:space="preserve"> </w:t>
      </w:r>
      <w:r w:rsidRPr="00EB7805">
        <w:t xml:space="preserve">turn hurt sales for all retailers. </w:t>
      </w:r>
      <w:r>
        <w:t xml:space="preserve">Sales have rebounded in the five years after the recession, but many analysts feel that industry performance remains sluggish. </w:t>
      </w:r>
      <w:r w:rsidRPr="00EB7805">
        <w:t xml:space="preserve">Marketers note the post-recession watchword for retail customers is </w:t>
      </w:r>
      <w:r w:rsidRPr="00EB7805">
        <w:rPr>
          <w:i/>
        </w:rPr>
        <w:t>value</w:t>
      </w:r>
      <w:r w:rsidRPr="00EB7805">
        <w:t xml:space="preserve">. Consumers, regardless of economic standing, want quality at a relatively low price.  </w:t>
      </w:r>
    </w:p>
    <w:p w:rsidR="001C7163" w:rsidRPr="00064931" w:rsidRDefault="001C7163" w:rsidP="001C7163">
      <w:r>
        <w:tab/>
        <w:t xml:space="preserve">A recent threat to </w:t>
      </w:r>
      <w:r w:rsidRPr="00C44699">
        <w:rPr>
          <w:i/>
        </w:rPr>
        <w:t>traditional bricks and mortar</w:t>
      </w:r>
      <w:r>
        <w:t xml:space="preserve"> retailers, such as Target, has been the rise of online retailing. Firms such as Amazon have taken sales and market share away from Target, Walmart and others who primarily sell their goods at fixed locations. In addition to this general industry threat, Target has faced numerous company issues. The primary ones are an ill-fated attempt to launch stores in Canada, an extensive data breach to its customers’ information, and the erratic performance of its Target credit card business. More importantly, some analysts have criticized Target from losing sight of its objective as the </w:t>
      </w:r>
      <w:r w:rsidRPr="00EB7805">
        <w:rPr>
          <w:i/>
        </w:rPr>
        <w:t>upscale discounter</w:t>
      </w:r>
      <w:r w:rsidRPr="00064931">
        <w:t xml:space="preserve">; </w:t>
      </w:r>
      <w:r>
        <w:t xml:space="preserve">a purveyor of </w:t>
      </w:r>
      <w:r w:rsidRPr="00064931">
        <w:rPr>
          <w:i/>
        </w:rPr>
        <w:t>cheap chic</w:t>
      </w:r>
      <w:r>
        <w:t>, which differentiated the firm from its competitors.</w:t>
      </w:r>
    </w:p>
    <w:p w:rsidR="001C7163" w:rsidRDefault="001C7163" w:rsidP="001C7163">
      <w:pPr>
        <w:widowControl w:val="0"/>
        <w:ind w:firstLine="720"/>
      </w:pPr>
      <w:r>
        <w:t>You turn your attention to Target’s four most recent income statements, balance sheets, and statements of cash flows excerpts:</w:t>
      </w:r>
      <w:r>
        <w:br w:type="page"/>
      </w:r>
    </w:p>
    <w:tbl>
      <w:tblPr>
        <w:tblW w:w="8260" w:type="dxa"/>
        <w:tblInd w:w="93" w:type="dxa"/>
        <w:tblLook w:val="04A0" w:firstRow="1" w:lastRow="0" w:firstColumn="1" w:lastColumn="0" w:noHBand="0" w:noVBand="1"/>
      </w:tblPr>
      <w:tblGrid>
        <w:gridCol w:w="4160"/>
        <w:gridCol w:w="1040"/>
        <w:gridCol w:w="1040"/>
        <w:gridCol w:w="1040"/>
        <w:gridCol w:w="980"/>
      </w:tblGrid>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b/>
                <w:bCs/>
                <w:sz w:val="16"/>
                <w:szCs w:val="16"/>
              </w:rPr>
            </w:pPr>
            <w:r w:rsidRPr="00932369">
              <w:rPr>
                <w:rFonts w:ascii="Arial" w:eastAsia="Times New Roman" w:hAnsi="Arial" w:cs="Arial"/>
                <w:b/>
                <w:bCs/>
                <w:sz w:val="16"/>
                <w:szCs w:val="16"/>
              </w:rPr>
              <w:lastRenderedPageBreak/>
              <w:t xml:space="preserve">Target Corporation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b/>
                <w:bCs/>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b/>
                <w:bCs/>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b/>
                <w:bCs/>
                <w:sz w:val="16"/>
                <w:szCs w:val="16"/>
              </w:rPr>
            </w:pP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b/>
                <w:bCs/>
                <w:sz w:val="16"/>
                <w:szCs w:val="16"/>
              </w:rPr>
            </w:pP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b/>
                <w:bCs/>
                <w:sz w:val="16"/>
                <w:szCs w:val="16"/>
              </w:rPr>
            </w:pPr>
            <w:r w:rsidRPr="00932369">
              <w:rPr>
                <w:rFonts w:ascii="Arial" w:eastAsia="Times New Roman" w:hAnsi="Arial" w:cs="Arial"/>
                <w:b/>
                <w:bCs/>
                <w:sz w:val="16"/>
                <w:szCs w:val="16"/>
              </w:rPr>
              <w:t>Income Statements (in millions of dollars)</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2014</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2013</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2012</w:t>
            </w:r>
          </w:p>
        </w:tc>
        <w:tc>
          <w:tcPr>
            <w:tcW w:w="98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2011</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Total revenues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72,596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73,301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69,865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$ 67,390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Costs of sales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51,160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50,568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47,860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45,725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Gross profit</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21,436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22,733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22,005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21,665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Operating expenses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17,207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17,362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16,683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16,413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Operating income</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4,229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5,371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5,322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5,252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Net interest cost</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1,126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762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866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757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Income before income taxes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3,103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4,609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4,456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4,495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Income tax expense</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1,132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1,610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1,527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1,575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Net income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1,971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2,999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2,929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2,920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b/>
                <w:bCs/>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b/>
                <w:bCs/>
                <w:sz w:val="16"/>
                <w:szCs w:val="16"/>
              </w:rPr>
            </w:pPr>
            <w:r w:rsidRPr="00932369">
              <w:rPr>
                <w:rFonts w:ascii="Arial" w:eastAsia="Times New Roman" w:hAnsi="Arial" w:cs="Arial"/>
                <w:b/>
                <w:bCs/>
                <w:sz w:val="16"/>
                <w:szCs w:val="16"/>
              </w:rPr>
              <w:t xml:space="preserve">Target Corporation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b/>
                <w:bCs/>
                <w:sz w:val="16"/>
                <w:szCs w:val="16"/>
              </w:rPr>
            </w:pPr>
            <w:r w:rsidRPr="00932369">
              <w:rPr>
                <w:rFonts w:ascii="Arial" w:eastAsia="Times New Roman" w:hAnsi="Arial" w:cs="Arial"/>
                <w:b/>
                <w:bCs/>
                <w:sz w:val="16"/>
                <w:szCs w:val="16"/>
              </w:rPr>
              <w:t>Balance Sheets (in millions of dollars)</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2014</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2013</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2012</w:t>
            </w:r>
          </w:p>
        </w:tc>
        <w:tc>
          <w:tcPr>
            <w:tcW w:w="98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2011</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Assets</w:t>
            </w:r>
            <w:r>
              <w:rPr>
                <w:rFonts w:ascii="Arial" w:eastAsia="Times New Roman" w:hAnsi="Arial" w:cs="Arial"/>
                <w:sz w:val="16"/>
                <w:szCs w:val="16"/>
              </w:rPr>
              <w:t>:</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Calibri" w:eastAsia="Times New Roman" w:hAnsi="Calibri"/>
                <w:color w:val="000000"/>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Calibri" w:eastAsia="Times New Roman" w:hAnsi="Calibri"/>
                <w:color w:val="000000"/>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Cash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695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784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794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1,712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Accounts receivable</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5,841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5,927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6,153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Inventories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8,766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7,903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7,918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7,596 </w:t>
            </w:r>
          </w:p>
        </w:tc>
      </w:tr>
      <w:tr w:rsidR="001C7163" w:rsidRPr="00932369" w:rsidTr="00CD48A1">
        <w:trPr>
          <w:trHeight w:val="33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Prepaid expenses and other</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2,112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1,860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1,810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1,752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Total current assets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11,573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16,388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16,449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17,213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Property, plant, &amp; equipment, net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31,378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31,663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29,149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25,493 </w:t>
            </w:r>
          </w:p>
        </w:tc>
      </w:tr>
      <w:tr w:rsidR="001C7163" w:rsidRPr="00932369" w:rsidTr="00CD48A1">
        <w:trPr>
          <w:trHeight w:val="33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Other assets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1,602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1,122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1,032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999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Total assets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44,553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48,163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46,630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$ 43,705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Liabilities and Shareholders' Equity</w:t>
            </w:r>
            <w:r>
              <w:rPr>
                <w:rFonts w:ascii="Arial" w:eastAsia="Times New Roman" w:hAnsi="Arial" w:cs="Arial"/>
                <w:sz w:val="16"/>
                <w:szCs w:val="16"/>
              </w:rPr>
              <w:t>:</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r>
      <w:tr w:rsidR="001C7163" w:rsidRPr="00932369" w:rsidTr="00CD48A1">
        <w:trPr>
          <w:trHeight w:val="33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Current liabilities: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Accounts payable</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7,683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7,056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6,857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6,625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Other current liabilities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5,094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6,975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7,430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3,445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Total current liabilities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12,777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14,031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14,287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10,070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Long-term liabilities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15,545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17,574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16,522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18,148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Total liabilities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28,322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31,605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30,809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28,218 </w:t>
            </w:r>
          </w:p>
        </w:tc>
      </w:tr>
      <w:tr w:rsidR="001C7163" w:rsidRPr="00932369" w:rsidTr="00CD48A1">
        <w:trPr>
          <w:trHeight w:val="33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lastRenderedPageBreak/>
              <w:t>Shareholders' Equity</w:t>
            </w:r>
            <w:r>
              <w:rPr>
                <w:rFonts w:ascii="Arial" w:eastAsia="Times New Roman" w:hAnsi="Arial" w:cs="Arial"/>
                <w:sz w:val="16"/>
                <w:szCs w:val="16"/>
              </w:rPr>
              <w:t>:</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Contributed capital</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4,523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3,979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3,543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3,370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Retained earnings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12,599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13,155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12,959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12,698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Other shareholders' equity</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(891)</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(576)</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(681)</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u w:val="single"/>
              </w:rPr>
            </w:pPr>
            <w:r w:rsidRPr="00932369">
              <w:rPr>
                <w:rFonts w:ascii="Arial" w:eastAsia="Times New Roman" w:hAnsi="Arial" w:cs="Arial"/>
                <w:sz w:val="16"/>
                <w:szCs w:val="16"/>
                <w:u w:val="single"/>
              </w:rPr>
              <w:t xml:space="preserve">       (581)</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Total shareholders' equity</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16,231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16,558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15,821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15,487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Total liabilities &amp; shareholders' equity</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color w:val="000000"/>
                <w:sz w:val="16"/>
                <w:szCs w:val="16"/>
              </w:rPr>
            </w:pPr>
            <w:r w:rsidRPr="00932369">
              <w:rPr>
                <w:rFonts w:ascii="Arial" w:eastAsia="Times New Roman" w:hAnsi="Arial" w:cs="Arial"/>
                <w:color w:val="000000"/>
                <w:sz w:val="16"/>
                <w:szCs w:val="16"/>
              </w:rPr>
              <w:t xml:space="preserve"> $  44,553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color w:val="000000"/>
                <w:sz w:val="16"/>
                <w:szCs w:val="16"/>
              </w:rPr>
            </w:pPr>
            <w:r w:rsidRPr="00932369">
              <w:rPr>
                <w:rFonts w:ascii="Arial" w:eastAsia="Times New Roman" w:hAnsi="Arial" w:cs="Arial"/>
                <w:color w:val="000000"/>
                <w:sz w:val="16"/>
                <w:szCs w:val="16"/>
              </w:rPr>
              <w:t xml:space="preserve"> $  48,163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color w:val="000000"/>
                <w:sz w:val="16"/>
                <w:szCs w:val="16"/>
              </w:rPr>
            </w:pPr>
            <w:r w:rsidRPr="00932369">
              <w:rPr>
                <w:rFonts w:ascii="Arial" w:eastAsia="Times New Roman" w:hAnsi="Arial" w:cs="Arial"/>
                <w:color w:val="000000"/>
                <w:sz w:val="16"/>
                <w:szCs w:val="16"/>
              </w:rPr>
              <w:t xml:space="preserve"> $  46,630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$ 43,705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b/>
                <w:bCs/>
                <w:sz w:val="16"/>
                <w:szCs w:val="16"/>
              </w:rPr>
            </w:pPr>
            <w:r w:rsidRPr="00932369">
              <w:rPr>
                <w:rFonts w:ascii="Arial" w:eastAsia="Times New Roman" w:hAnsi="Arial" w:cs="Arial"/>
                <w:b/>
                <w:bCs/>
                <w:sz w:val="16"/>
                <w:szCs w:val="16"/>
              </w:rPr>
              <w:t>Cash Flow Data</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 xml:space="preserve">    2014</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 xml:space="preserve">    2013</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 xml:space="preserve">    2012</w:t>
            </w:r>
          </w:p>
        </w:tc>
        <w:tc>
          <w:tcPr>
            <w:tcW w:w="980" w:type="dxa"/>
            <w:tcBorders>
              <w:top w:val="nil"/>
              <w:left w:val="nil"/>
              <w:bottom w:val="nil"/>
              <w:right w:val="nil"/>
            </w:tcBorders>
            <w:shd w:val="clear" w:color="auto" w:fill="auto"/>
            <w:noWrap/>
            <w:vAlign w:val="bottom"/>
            <w:hideMark/>
          </w:tcPr>
          <w:p w:rsidR="001C7163" w:rsidRPr="001054BD" w:rsidRDefault="001C7163" w:rsidP="00CD48A1">
            <w:pPr>
              <w:jc w:val="center"/>
              <w:rPr>
                <w:rFonts w:ascii="Arial" w:eastAsia="Times New Roman" w:hAnsi="Arial" w:cs="Arial"/>
                <w:b/>
                <w:bCs/>
                <w:sz w:val="16"/>
                <w:szCs w:val="16"/>
                <w:u w:val="single"/>
              </w:rPr>
            </w:pPr>
            <w:r w:rsidRPr="001054BD">
              <w:rPr>
                <w:rFonts w:ascii="Arial" w:eastAsia="Times New Roman" w:hAnsi="Arial" w:cs="Arial"/>
                <w:b/>
                <w:bCs/>
                <w:sz w:val="16"/>
                <w:szCs w:val="16"/>
                <w:u w:val="single"/>
              </w:rPr>
              <w:t xml:space="preserve">   2011</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color w:val="000000"/>
                <w:sz w:val="16"/>
                <w:szCs w:val="16"/>
              </w:rPr>
            </w:pPr>
            <w:r w:rsidRPr="00932369">
              <w:rPr>
                <w:rFonts w:ascii="Arial" w:eastAsia="Times New Roman" w:hAnsi="Arial" w:cs="Arial"/>
                <w:color w:val="000000"/>
                <w:sz w:val="16"/>
                <w:szCs w:val="16"/>
              </w:rPr>
              <w:t>Cash flow from operations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6,520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5,325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5,434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   5,271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color w:val="000000"/>
                <w:sz w:val="16"/>
                <w:szCs w:val="16"/>
              </w:rPr>
            </w:pPr>
            <w:r w:rsidRPr="00932369">
              <w:rPr>
                <w:rFonts w:ascii="Arial" w:eastAsia="Times New Roman" w:hAnsi="Arial" w:cs="Arial"/>
                <w:color w:val="000000"/>
                <w:sz w:val="16"/>
                <w:szCs w:val="16"/>
              </w:rPr>
              <w:t>Fixed asset purchases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3,453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3,277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4,368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2,129 </w:t>
            </w:r>
          </w:p>
        </w:tc>
      </w:tr>
      <w:tr w:rsidR="001C7163" w:rsidRPr="00932369" w:rsidTr="00CD48A1">
        <w:trPr>
          <w:trHeight w:val="300"/>
        </w:trPr>
        <w:tc>
          <w:tcPr>
            <w:tcW w:w="416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color w:val="000000"/>
                <w:sz w:val="16"/>
                <w:szCs w:val="16"/>
              </w:rPr>
            </w:pPr>
            <w:r w:rsidRPr="00932369">
              <w:rPr>
                <w:rFonts w:ascii="Arial" w:eastAsia="Times New Roman" w:hAnsi="Arial" w:cs="Arial"/>
                <w:color w:val="000000"/>
                <w:sz w:val="16"/>
                <w:szCs w:val="16"/>
              </w:rPr>
              <w:t>Cash dividends</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1,006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869 </w:t>
            </w:r>
          </w:p>
        </w:tc>
        <w:tc>
          <w:tcPr>
            <w:tcW w:w="104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750 </w:t>
            </w:r>
          </w:p>
        </w:tc>
        <w:tc>
          <w:tcPr>
            <w:tcW w:w="980" w:type="dxa"/>
            <w:tcBorders>
              <w:top w:val="nil"/>
              <w:left w:val="nil"/>
              <w:bottom w:val="nil"/>
              <w:right w:val="nil"/>
            </w:tcBorders>
            <w:shd w:val="clear" w:color="auto" w:fill="auto"/>
            <w:noWrap/>
            <w:vAlign w:val="bottom"/>
            <w:hideMark/>
          </w:tcPr>
          <w:p w:rsidR="001C7163" w:rsidRPr="00932369" w:rsidRDefault="001C7163" w:rsidP="00CD48A1">
            <w:pPr>
              <w:rPr>
                <w:rFonts w:ascii="Arial" w:eastAsia="Times New Roman" w:hAnsi="Arial" w:cs="Arial"/>
                <w:sz w:val="16"/>
                <w:szCs w:val="16"/>
              </w:rPr>
            </w:pPr>
            <w:r w:rsidRPr="00932369">
              <w:rPr>
                <w:rFonts w:ascii="Arial" w:eastAsia="Times New Roman" w:hAnsi="Arial" w:cs="Arial"/>
                <w:sz w:val="16"/>
                <w:szCs w:val="16"/>
              </w:rPr>
              <w:t xml:space="preserve">        609 </w:t>
            </w:r>
          </w:p>
        </w:tc>
      </w:tr>
    </w:tbl>
    <w:p w:rsidR="001C7163" w:rsidRDefault="001C7163" w:rsidP="001C7163">
      <w:pPr>
        <w:rPr>
          <w:sz w:val="16"/>
          <w:szCs w:val="16"/>
        </w:rPr>
      </w:pPr>
    </w:p>
    <w:p w:rsidR="001C7163" w:rsidRDefault="001C7163" w:rsidP="001C7163">
      <w:r w:rsidRPr="00932369">
        <w:t>As a c</w:t>
      </w:r>
      <w:r>
        <w:t>ompetitive benchmark, you also gather the last four years financial statements for Walmart:</w:t>
      </w:r>
    </w:p>
    <w:tbl>
      <w:tblPr>
        <w:tblW w:w="9240" w:type="dxa"/>
        <w:tblInd w:w="93" w:type="dxa"/>
        <w:tblLook w:val="04A0" w:firstRow="1" w:lastRow="0" w:firstColumn="1" w:lastColumn="0" w:noHBand="0" w:noVBand="1"/>
      </w:tblPr>
      <w:tblGrid>
        <w:gridCol w:w="4240"/>
        <w:gridCol w:w="1160"/>
        <w:gridCol w:w="1280"/>
        <w:gridCol w:w="1280"/>
        <w:gridCol w:w="1280"/>
      </w:tblGrid>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bookmarkStart w:id="0" w:name="RANGE!A1:E42"/>
            <w:r w:rsidRPr="001C7163">
              <w:rPr>
                <w:rFonts w:ascii="Arial" w:eastAsia="Times New Roman" w:hAnsi="Arial" w:cs="Arial"/>
                <w:b/>
                <w:bCs/>
                <w:sz w:val="16"/>
                <w:szCs w:val="16"/>
              </w:rPr>
              <w:t>Wal-Mart Stores</w:t>
            </w:r>
            <w:bookmarkEnd w:id="0"/>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r w:rsidRPr="001C7163">
              <w:rPr>
                <w:rFonts w:ascii="Arial" w:eastAsia="Times New Roman" w:hAnsi="Arial" w:cs="Arial"/>
                <w:b/>
                <w:bCs/>
                <w:sz w:val="16"/>
                <w:szCs w:val="16"/>
              </w:rPr>
              <w:t>Income Statements (in millions of dollars)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jc w:val="center"/>
              <w:rPr>
                <w:rFonts w:ascii="Arial" w:eastAsia="Times New Roman" w:hAnsi="Arial" w:cs="Arial"/>
                <w:b/>
                <w:bCs/>
                <w:sz w:val="16"/>
                <w:szCs w:val="16"/>
                <w:u w:val="single"/>
              </w:rPr>
            </w:pPr>
            <w:r w:rsidRPr="001C7163">
              <w:rPr>
                <w:rFonts w:ascii="Arial" w:eastAsia="Times New Roman" w:hAnsi="Arial" w:cs="Arial"/>
                <w:b/>
                <w:bCs/>
                <w:sz w:val="16"/>
                <w:szCs w:val="16"/>
                <w:u w:val="single"/>
              </w:rPr>
              <w:t>2014</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center"/>
              <w:rPr>
                <w:rFonts w:ascii="Arial" w:eastAsia="Times New Roman" w:hAnsi="Arial" w:cs="Arial"/>
                <w:b/>
                <w:bCs/>
                <w:sz w:val="16"/>
                <w:szCs w:val="16"/>
                <w:u w:val="single"/>
              </w:rPr>
            </w:pPr>
            <w:r w:rsidRPr="001C7163">
              <w:rPr>
                <w:rFonts w:ascii="Arial" w:eastAsia="Times New Roman" w:hAnsi="Arial" w:cs="Arial"/>
                <w:b/>
                <w:bCs/>
                <w:sz w:val="16"/>
                <w:szCs w:val="16"/>
                <w:u w:val="single"/>
              </w:rPr>
              <w:t>2013</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center"/>
              <w:rPr>
                <w:rFonts w:ascii="Arial" w:eastAsia="Times New Roman" w:hAnsi="Arial" w:cs="Arial"/>
                <w:b/>
                <w:bCs/>
                <w:sz w:val="16"/>
                <w:szCs w:val="16"/>
                <w:u w:val="single"/>
              </w:rPr>
            </w:pPr>
            <w:r w:rsidRPr="001C7163">
              <w:rPr>
                <w:rFonts w:ascii="Arial" w:eastAsia="Times New Roman" w:hAnsi="Arial" w:cs="Arial"/>
                <w:b/>
                <w:bCs/>
                <w:sz w:val="16"/>
                <w:szCs w:val="16"/>
                <w:u w:val="single"/>
              </w:rPr>
              <w:t>2012</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center"/>
              <w:rPr>
                <w:rFonts w:ascii="Arial" w:eastAsia="Times New Roman" w:hAnsi="Arial" w:cs="Arial"/>
                <w:b/>
                <w:bCs/>
                <w:sz w:val="16"/>
                <w:szCs w:val="16"/>
                <w:u w:val="single"/>
              </w:rPr>
            </w:pPr>
            <w:r w:rsidRPr="001C7163">
              <w:rPr>
                <w:rFonts w:ascii="Arial" w:eastAsia="Times New Roman" w:hAnsi="Arial" w:cs="Arial"/>
                <w:b/>
                <w:bCs/>
                <w:sz w:val="16"/>
                <w:szCs w:val="16"/>
                <w:u w:val="single"/>
              </w:rPr>
              <w:t>2011</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Total revenues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476,295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468,651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446,950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421,849 </w:t>
            </w:r>
          </w:p>
        </w:tc>
      </w:tr>
      <w:tr w:rsidR="001C7163" w:rsidRPr="001C7163" w:rsidTr="00CD48A1">
        <w:trPr>
          <w:trHeight w:val="330"/>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Costs of sales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358,069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352,297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335,127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315,287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Gross profit</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118,225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116,354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111,823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106,562 </w:t>
            </w:r>
          </w:p>
        </w:tc>
      </w:tr>
      <w:tr w:rsidR="001C7163" w:rsidRPr="001C7163" w:rsidTr="00CD48A1">
        <w:trPr>
          <w:trHeight w:val="330"/>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Operating expenses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91,353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88,629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85,265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81,020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Operating income</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26,872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27,725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26,558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25,542 </w:t>
            </w:r>
          </w:p>
        </w:tc>
      </w:tr>
      <w:tr w:rsidR="001C7163" w:rsidRPr="001C7163" w:rsidTr="00CD48A1">
        <w:trPr>
          <w:trHeight w:val="330"/>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Net interest cost</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2,216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2,063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2,160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2,004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Income before income taxes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24,656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25,662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24,398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23,538 </w:t>
            </w:r>
          </w:p>
        </w:tc>
      </w:tr>
      <w:tr w:rsidR="001C7163" w:rsidRPr="001C7163" w:rsidTr="00CD48A1">
        <w:trPr>
          <w:trHeight w:val="330"/>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Income tax expense</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8,634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8,663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8,699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8,663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Net income </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16,022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16,999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15,699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16,389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r w:rsidRPr="001C7163">
              <w:rPr>
                <w:rFonts w:ascii="Arial" w:eastAsia="Times New Roman" w:hAnsi="Arial" w:cs="Arial"/>
                <w:b/>
                <w:bCs/>
                <w:sz w:val="16"/>
                <w:szCs w:val="16"/>
              </w:rPr>
              <w:t>Wal-Mart Stores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r w:rsidRPr="001C7163">
              <w:rPr>
                <w:rFonts w:ascii="Arial" w:eastAsia="Times New Roman" w:hAnsi="Arial" w:cs="Arial"/>
                <w:b/>
                <w:bCs/>
                <w:sz w:val="16"/>
                <w:szCs w:val="16"/>
              </w:rPr>
              <w:t>Balance Sheets (in millions of dollars)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jc w:val="center"/>
              <w:rPr>
                <w:rFonts w:ascii="Arial" w:eastAsia="Times New Roman" w:hAnsi="Arial" w:cs="Arial"/>
                <w:b/>
                <w:bCs/>
                <w:sz w:val="16"/>
                <w:szCs w:val="16"/>
                <w:u w:val="single"/>
              </w:rPr>
            </w:pPr>
            <w:r w:rsidRPr="001C7163">
              <w:rPr>
                <w:rFonts w:ascii="Arial" w:eastAsia="Times New Roman" w:hAnsi="Arial" w:cs="Arial"/>
                <w:b/>
                <w:bCs/>
                <w:sz w:val="16"/>
                <w:szCs w:val="16"/>
                <w:u w:val="single"/>
              </w:rPr>
              <w:t>2014</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center"/>
              <w:rPr>
                <w:rFonts w:ascii="Arial" w:eastAsia="Times New Roman" w:hAnsi="Arial" w:cs="Arial"/>
                <w:b/>
                <w:bCs/>
                <w:sz w:val="16"/>
                <w:szCs w:val="16"/>
                <w:u w:val="single"/>
              </w:rPr>
            </w:pPr>
            <w:r w:rsidRPr="001C7163">
              <w:rPr>
                <w:rFonts w:ascii="Arial" w:eastAsia="Times New Roman" w:hAnsi="Arial" w:cs="Arial"/>
                <w:b/>
                <w:bCs/>
                <w:sz w:val="16"/>
                <w:szCs w:val="16"/>
                <w:u w:val="single"/>
              </w:rPr>
              <w:t>2013</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center"/>
              <w:rPr>
                <w:rFonts w:ascii="Arial" w:eastAsia="Times New Roman" w:hAnsi="Arial" w:cs="Arial"/>
                <w:b/>
                <w:bCs/>
                <w:sz w:val="16"/>
                <w:szCs w:val="16"/>
                <w:u w:val="single"/>
              </w:rPr>
            </w:pPr>
            <w:r w:rsidRPr="001C7163">
              <w:rPr>
                <w:rFonts w:ascii="Arial" w:eastAsia="Times New Roman" w:hAnsi="Arial" w:cs="Arial"/>
                <w:b/>
                <w:bCs/>
                <w:sz w:val="16"/>
                <w:szCs w:val="16"/>
                <w:u w:val="single"/>
              </w:rPr>
              <w:t>2012</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center"/>
              <w:rPr>
                <w:rFonts w:ascii="Arial" w:eastAsia="Times New Roman" w:hAnsi="Arial" w:cs="Arial"/>
                <w:b/>
                <w:bCs/>
                <w:sz w:val="16"/>
                <w:szCs w:val="16"/>
                <w:u w:val="single"/>
              </w:rPr>
            </w:pPr>
            <w:r w:rsidRPr="001C7163">
              <w:rPr>
                <w:rFonts w:ascii="Arial" w:eastAsia="Times New Roman" w:hAnsi="Arial" w:cs="Arial"/>
                <w:b/>
                <w:bCs/>
                <w:sz w:val="16"/>
                <w:szCs w:val="16"/>
                <w:u w:val="single"/>
              </w:rPr>
              <w:t>2011</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Assets</w:t>
            </w:r>
            <w:r>
              <w:rPr>
                <w:rFonts w:ascii="Arial" w:eastAsia="Times New Roman" w:hAnsi="Arial" w:cs="Arial"/>
                <w:sz w:val="16"/>
                <w:szCs w:val="16"/>
              </w:rPr>
              <w:t>:</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Cash </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7,281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7,781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6,550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7,395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Accounts receivable</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6,677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6,768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5,937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5,089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Inventories </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1,909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1,551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40,714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36,318 </w:t>
            </w:r>
          </w:p>
        </w:tc>
      </w:tr>
      <w:tr w:rsidR="001C7163" w:rsidRPr="001C7163" w:rsidTr="00CD48A1">
        <w:trPr>
          <w:trHeight w:val="330"/>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lastRenderedPageBreak/>
              <w:t>Prepaid expenses and other</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460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37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1,774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3,091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Total current assets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61,185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59,940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54,975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51,893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Property, plant, &amp; equipment, net </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115,364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113,929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109,603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105,098 </w:t>
            </w:r>
          </w:p>
        </w:tc>
      </w:tr>
      <w:tr w:rsidR="001C7163" w:rsidRPr="001C7163" w:rsidTr="00CD48A1">
        <w:trPr>
          <w:trHeight w:val="330"/>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Other assets </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28,202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29,236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28,828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23,672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Total assets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204,751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203,105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193,406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180,663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Liabilities and Shareholders' Equity</w:t>
            </w:r>
            <w:r>
              <w:rPr>
                <w:rFonts w:ascii="Arial" w:eastAsia="Times New Roman" w:hAnsi="Arial" w:cs="Arial"/>
                <w:sz w:val="16"/>
                <w:szCs w:val="16"/>
              </w:rPr>
              <w:t>:</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Current liabilities: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Accounts payable</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37,415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38,080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36,608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33,557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Other current liabilities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31,930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33,738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25,692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24,927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Total current liabilities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69,345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71,818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62,300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58,484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Long-term liabilities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54,067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49,549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55,345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50,932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Total liabilities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123,412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121,367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117,645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109,416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Shareholders' Equity</w:t>
            </w:r>
            <w:r>
              <w:rPr>
                <w:rFonts w:ascii="Arial" w:eastAsia="Times New Roman" w:hAnsi="Arial" w:cs="Arial"/>
                <w:sz w:val="16"/>
                <w:szCs w:val="16"/>
              </w:rPr>
              <w:t>:</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Contributed capital</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2,685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3,952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4,034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3,929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Retained earnings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76,566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72,798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68,691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63,967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Other shareholders' equity</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2,088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4,808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3,036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3,351 </w:t>
            </w:r>
          </w:p>
        </w:tc>
      </w:tr>
      <w:tr w:rsidR="001C7163" w:rsidRPr="001C7163" w:rsidTr="00CD48A1">
        <w:trPr>
          <w:trHeight w:val="330"/>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Total shareholders' equity</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81,339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81,738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75,761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u w:val="single"/>
              </w:rPr>
            </w:pPr>
            <w:r w:rsidRPr="001C7163">
              <w:rPr>
                <w:rFonts w:ascii="Arial" w:eastAsia="Times New Roman" w:hAnsi="Arial" w:cs="Arial"/>
                <w:sz w:val="16"/>
                <w:szCs w:val="16"/>
                <w:u w:val="single"/>
              </w:rPr>
              <w:t xml:space="preserve">         71,247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Total liabilities &amp; shareholders' equity</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204,751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203,105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193,406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180,663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p>
        </w:tc>
        <w:tc>
          <w:tcPr>
            <w:tcW w:w="116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b/>
                <w:bCs/>
                <w:sz w:val="16"/>
                <w:szCs w:val="16"/>
              </w:rPr>
            </w:pPr>
            <w:r w:rsidRPr="001C7163">
              <w:rPr>
                <w:rFonts w:ascii="Arial" w:eastAsia="Times New Roman" w:hAnsi="Arial" w:cs="Arial"/>
                <w:b/>
                <w:bCs/>
                <w:sz w:val="16"/>
                <w:szCs w:val="16"/>
              </w:rPr>
              <w:t>Cash Flow Data</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jc w:val="right"/>
              <w:rPr>
                <w:rFonts w:ascii="Arial" w:eastAsia="Times New Roman" w:hAnsi="Arial" w:cs="Arial"/>
                <w:b/>
                <w:bCs/>
                <w:sz w:val="16"/>
                <w:szCs w:val="16"/>
                <w:u w:val="single"/>
              </w:rPr>
            </w:pPr>
            <w:r w:rsidRPr="001C7163">
              <w:rPr>
                <w:rFonts w:ascii="Arial" w:eastAsia="Times New Roman" w:hAnsi="Arial" w:cs="Arial"/>
                <w:b/>
                <w:bCs/>
                <w:sz w:val="16"/>
                <w:szCs w:val="16"/>
                <w:u w:val="single"/>
              </w:rPr>
              <w:t>2014</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right"/>
              <w:rPr>
                <w:rFonts w:ascii="Arial" w:eastAsia="Times New Roman" w:hAnsi="Arial" w:cs="Arial"/>
                <w:b/>
                <w:bCs/>
                <w:sz w:val="16"/>
                <w:szCs w:val="16"/>
                <w:u w:val="single"/>
              </w:rPr>
            </w:pPr>
            <w:r w:rsidRPr="001C7163">
              <w:rPr>
                <w:rFonts w:ascii="Arial" w:eastAsia="Times New Roman" w:hAnsi="Arial" w:cs="Arial"/>
                <w:b/>
                <w:bCs/>
                <w:sz w:val="16"/>
                <w:szCs w:val="16"/>
                <w:u w:val="single"/>
              </w:rPr>
              <w:t>2013</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center"/>
              <w:rPr>
                <w:rFonts w:ascii="Arial" w:eastAsia="Times New Roman" w:hAnsi="Arial" w:cs="Arial"/>
                <w:b/>
                <w:bCs/>
                <w:sz w:val="16"/>
                <w:szCs w:val="16"/>
                <w:u w:val="single"/>
              </w:rPr>
            </w:pPr>
            <w:r w:rsidRPr="001C7163">
              <w:rPr>
                <w:rFonts w:ascii="Arial" w:eastAsia="Times New Roman" w:hAnsi="Arial" w:cs="Arial"/>
                <w:b/>
                <w:bCs/>
                <w:sz w:val="16"/>
                <w:szCs w:val="16"/>
                <w:u w:val="single"/>
              </w:rPr>
              <w:t>2012</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center"/>
              <w:rPr>
                <w:rFonts w:ascii="Arial" w:eastAsia="Times New Roman" w:hAnsi="Arial" w:cs="Arial"/>
                <w:b/>
                <w:bCs/>
                <w:sz w:val="16"/>
                <w:szCs w:val="16"/>
                <w:u w:val="single"/>
              </w:rPr>
            </w:pPr>
            <w:r w:rsidRPr="001C7163">
              <w:rPr>
                <w:rFonts w:ascii="Arial" w:eastAsia="Times New Roman" w:hAnsi="Arial" w:cs="Arial"/>
                <w:b/>
                <w:bCs/>
                <w:sz w:val="16"/>
                <w:szCs w:val="16"/>
                <w:u w:val="single"/>
              </w:rPr>
              <w:t>2011</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r w:rsidRPr="001C7163">
              <w:rPr>
                <w:rFonts w:ascii="Arial" w:eastAsia="Times New Roman" w:hAnsi="Arial" w:cs="Arial"/>
                <w:color w:val="000000"/>
                <w:sz w:val="16"/>
                <w:szCs w:val="16"/>
              </w:rPr>
              <w:t>Cash flow from operations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jc w:val="right"/>
              <w:rPr>
                <w:rFonts w:ascii="Arial" w:eastAsia="Times New Roman" w:hAnsi="Arial" w:cs="Arial"/>
                <w:color w:val="000000"/>
                <w:sz w:val="16"/>
                <w:szCs w:val="16"/>
              </w:rPr>
            </w:pPr>
            <w:r w:rsidRPr="001C7163">
              <w:rPr>
                <w:rFonts w:ascii="Arial" w:eastAsia="Times New Roman" w:hAnsi="Arial" w:cs="Arial"/>
                <w:color w:val="000000"/>
                <w:sz w:val="16"/>
                <w:szCs w:val="16"/>
              </w:rPr>
              <w:t>$   23,257</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right"/>
              <w:rPr>
                <w:rFonts w:ascii="Arial" w:eastAsia="Times New Roman" w:hAnsi="Arial" w:cs="Arial"/>
                <w:color w:val="000000"/>
                <w:sz w:val="16"/>
                <w:szCs w:val="16"/>
              </w:rPr>
            </w:pPr>
            <w:r w:rsidRPr="001C7163">
              <w:rPr>
                <w:rFonts w:ascii="Arial" w:eastAsia="Times New Roman" w:hAnsi="Arial" w:cs="Arial"/>
                <w:color w:val="000000"/>
                <w:sz w:val="16"/>
                <w:szCs w:val="16"/>
              </w:rPr>
              <w:t>$   25,591</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r w:rsidRPr="001C7163">
              <w:rPr>
                <w:rFonts w:ascii="Arial" w:eastAsia="Times New Roman" w:hAnsi="Arial" w:cs="Arial"/>
                <w:color w:val="000000"/>
                <w:sz w:val="16"/>
                <w:szCs w:val="16"/>
              </w:rPr>
              <w:t xml:space="preserve"> $    24,255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     23,643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r w:rsidRPr="001C7163">
              <w:rPr>
                <w:rFonts w:ascii="Arial" w:eastAsia="Times New Roman" w:hAnsi="Arial" w:cs="Arial"/>
                <w:color w:val="000000"/>
                <w:sz w:val="16"/>
                <w:szCs w:val="16"/>
              </w:rPr>
              <w:t>Fixed asset purchases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jc w:val="right"/>
              <w:rPr>
                <w:rFonts w:ascii="Arial" w:eastAsia="Times New Roman" w:hAnsi="Arial" w:cs="Arial"/>
                <w:color w:val="000000"/>
                <w:sz w:val="16"/>
                <w:szCs w:val="16"/>
              </w:rPr>
            </w:pPr>
            <w:r w:rsidRPr="001C7163">
              <w:rPr>
                <w:rFonts w:ascii="Arial" w:eastAsia="Times New Roman" w:hAnsi="Arial" w:cs="Arial"/>
                <w:color w:val="000000"/>
                <w:sz w:val="16"/>
                <w:szCs w:val="16"/>
              </w:rPr>
              <w:t>13,115</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right"/>
              <w:rPr>
                <w:rFonts w:ascii="Arial" w:eastAsia="Times New Roman" w:hAnsi="Arial" w:cs="Arial"/>
                <w:color w:val="000000"/>
                <w:sz w:val="16"/>
                <w:szCs w:val="16"/>
              </w:rPr>
            </w:pPr>
            <w:r w:rsidRPr="001C7163">
              <w:rPr>
                <w:rFonts w:ascii="Arial" w:eastAsia="Times New Roman" w:hAnsi="Arial" w:cs="Arial"/>
                <w:color w:val="000000"/>
                <w:sz w:val="16"/>
                <w:szCs w:val="16"/>
              </w:rPr>
              <w:t>12,898</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r w:rsidRPr="001C7163">
              <w:rPr>
                <w:rFonts w:ascii="Arial" w:eastAsia="Times New Roman" w:hAnsi="Arial" w:cs="Arial"/>
                <w:color w:val="000000"/>
                <w:sz w:val="16"/>
                <w:szCs w:val="16"/>
              </w:rPr>
              <w:t xml:space="preserve">       13,510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sz w:val="16"/>
                <w:szCs w:val="16"/>
              </w:rPr>
            </w:pPr>
            <w:r w:rsidRPr="001C7163">
              <w:rPr>
                <w:rFonts w:ascii="Arial" w:eastAsia="Times New Roman" w:hAnsi="Arial" w:cs="Arial"/>
                <w:sz w:val="16"/>
                <w:szCs w:val="16"/>
              </w:rPr>
              <w:t xml:space="preserve">        12,699 </w:t>
            </w:r>
          </w:p>
        </w:tc>
      </w:tr>
      <w:tr w:rsidR="001C7163" w:rsidRPr="001C7163" w:rsidTr="00CD48A1">
        <w:trPr>
          <w:trHeight w:val="285"/>
        </w:trPr>
        <w:tc>
          <w:tcPr>
            <w:tcW w:w="424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r w:rsidRPr="001C7163">
              <w:rPr>
                <w:rFonts w:ascii="Arial" w:eastAsia="Times New Roman" w:hAnsi="Arial" w:cs="Arial"/>
                <w:color w:val="000000"/>
                <w:sz w:val="16"/>
                <w:szCs w:val="16"/>
              </w:rPr>
              <w:t>Cash dividends</w:t>
            </w:r>
          </w:p>
        </w:tc>
        <w:tc>
          <w:tcPr>
            <w:tcW w:w="1160" w:type="dxa"/>
            <w:tcBorders>
              <w:top w:val="nil"/>
              <w:left w:val="nil"/>
              <w:bottom w:val="nil"/>
              <w:right w:val="nil"/>
            </w:tcBorders>
            <w:shd w:val="clear" w:color="auto" w:fill="auto"/>
            <w:noWrap/>
            <w:vAlign w:val="bottom"/>
            <w:hideMark/>
          </w:tcPr>
          <w:p w:rsidR="001C7163" w:rsidRPr="001C7163" w:rsidRDefault="001C7163" w:rsidP="00CD48A1">
            <w:pPr>
              <w:jc w:val="right"/>
              <w:rPr>
                <w:rFonts w:ascii="Arial" w:eastAsia="Times New Roman" w:hAnsi="Arial" w:cs="Arial"/>
                <w:color w:val="000000"/>
                <w:sz w:val="16"/>
                <w:szCs w:val="16"/>
              </w:rPr>
            </w:pPr>
            <w:r w:rsidRPr="001C7163">
              <w:rPr>
                <w:rFonts w:ascii="Arial" w:eastAsia="Times New Roman" w:hAnsi="Arial" w:cs="Arial"/>
                <w:color w:val="000000"/>
                <w:sz w:val="16"/>
                <w:szCs w:val="16"/>
              </w:rPr>
              <w:t>6,139</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jc w:val="right"/>
              <w:rPr>
                <w:rFonts w:ascii="Arial" w:eastAsia="Times New Roman" w:hAnsi="Arial" w:cs="Arial"/>
                <w:color w:val="000000"/>
                <w:sz w:val="16"/>
                <w:szCs w:val="16"/>
              </w:rPr>
            </w:pPr>
            <w:r w:rsidRPr="001C7163">
              <w:rPr>
                <w:rFonts w:ascii="Arial" w:eastAsia="Times New Roman" w:hAnsi="Arial" w:cs="Arial"/>
                <w:color w:val="000000"/>
                <w:sz w:val="16"/>
                <w:szCs w:val="16"/>
              </w:rPr>
              <w:t>5,361</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r w:rsidRPr="001C7163">
              <w:rPr>
                <w:rFonts w:ascii="Arial" w:eastAsia="Times New Roman" w:hAnsi="Arial" w:cs="Arial"/>
                <w:color w:val="000000"/>
                <w:sz w:val="16"/>
                <w:szCs w:val="16"/>
              </w:rPr>
              <w:t xml:space="preserve">         5,048 </w:t>
            </w:r>
          </w:p>
        </w:tc>
        <w:tc>
          <w:tcPr>
            <w:tcW w:w="1280" w:type="dxa"/>
            <w:tcBorders>
              <w:top w:val="nil"/>
              <w:left w:val="nil"/>
              <w:bottom w:val="nil"/>
              <w:right w:val="nil"/>
            </w:tcBorders>
            <w:shd w:val="clear" w:color="auto" w:fill="auto"/>
            <w:noWrap/>
            <w:vAlign w:val="bottom"/>
            <w:hideMark/>
          </w:tcPr>
          <w:p w:rsidR="001C7163" w:rsidRPr="001C7163" w:rsidRDefault="001C7163" w:rsidP="00CD48A1">
            <w:pPr>
              <w:rPr>
                <w:rFonts w:ascii="Arial" w:eastAsia="Times New Roman" w:hAnsi="Arial" w:cs="Arial"/>
                <w:color w:val="000000"/>
                <w:sz w:val="16"/>
                <w:szCs w:val="16"/>
              </w:rPr>
            </w:pPr>
            <w:r w:rsidRPr="001C7163">
              <w:rPr>
                <w:rFonts w:ascii="Arial" w:eastAsia="Times New Roman" w:hAnsi="Arial" w:cs="Arial"/>
                <w:color w:val="000000"/>
                <w:sz w:val="16"/>
                <w:szCs w:val="16"/>
              </w:rPr>
              <w:t xml:space="preserve">         4,437 </w:t>
            </w:r>
          </w:p>
        </w:tc>
      </w:tr>
    </w:tbl>
    <w:p w:rsidR="001C7163" w:rsidRDefault="001C7163" w:rsidP="001C7163">
      <w:pPr>
        <w:ind w:firstLine="720"/>
      </w:pPr>
      <w:r>
        <w:t xml:space="preserve">You make a few final mental notes about the financial statements. First, Target did not report any accounts receivable in 2014. That is because Target sold its credit card business to TD Bank at the end of 2013. Second, the fiscal year end for Target and Walmart differ. Like most retailers, Target and Walmart end their fiscal years at the end of January, after the holiday selling and return season ends. In its annual reports, Target refers to its fiscal year in which the 11-month majority took place. For example, Target’s 2013 annual report referred to the year started on February 1, 2013 and ended on January 31, 2014 as </w:t>
      </w:r>
      <w:r w:rsidRPr="00C26763">
        <w:rPr>
          <w:i/>
        </w:rPr>
        <w:t>2013</w:t>
      </w:r>
      <w:r>
        <w:t xml:space="preserve">. Walmart, on the other hand called that same fiscal year </w:t>
      </w:r>
      <w:r w:rsidRPr="00C26763">
        <w:rPr>
          <w:i/>
        </w:rPr>
        <w:t>2014</w:t>
      </w:r>
      <w:r>
        <w:t xml:space="preserve">. To avoid confusion in your analysis, you have recast Target’s financial statements on a comparably-dated basis as those of Walmart. </w:t>
      </w:r>
    </w:p>
    <w:p w:rsidR="001C7163" w:rsidRDefault="001C7163" w:rsidP="001C7163">
      <w:pPr>
        <w:ind w:firstLine="720"/>
      </w:pPr>
    </w:p>
    <w:p w:rsidR="001C7163" w:rsidRDefault="001C7163" w:rsidP="001C7163">
      <w:r w:rsidRPr="00C26763">
        <w:rPr>
          <w:b/>
        </w:rPr>
        <w:lastRenderedPageBreak/>
        <w:t>Required</w:t>
      </w:r>
      <w:r>
        <w:t>: (1) Complete the following tables by computing the required 2013 and 2014 ratios for Target and Walmart.</w:t>
      </w:r>
    </w:p>
    <w:p w:rsidR="001C7163" w:rsidRDefault="001C7163" w:rsidP="001C7163"/>
    <w:tbl>
      <w:tblPr>
        <w:tblW w:w="8260" w:type="dxa"/>
        <w:tblInd w:w="93" w:type="dxa"/>
        <w:tblLook w:val="04A0" w:firstRow="1" w:lastRow="0" w:firstColumn="1" w:lastColumn="0" w:noHBand="0" w:noVBand="1"/>
      </w:tblPr>
      <w:tblGrid>
        <w:gridCol w:w="4160"/>
        <w:gridCol w:w="1040"/>
        <w:gridCol w:w="1040"/>
        <w:gridCol w:w="1040"/>
        <w:gridCol w:w="980"/>
      </w:tblGrid>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b/>
                <w:bCs/>
                <w:sz w:val="18"/>
                <w:szCs w:val="18"/>
              </w:rPr>
            </w:pPr>
            <w:r w:rsidRPr="00EB4B54">
              <w:rPr>
                <w:rFonts w:ascii="Arial" w:eastAsia="Times New Roman" w:hAnsi="Arial" w:cs="Arial"/>
                <w:b/>
                <w:bCs/>
                <w:sz w:val="18"/>
                <w:szCs w:val="18"/>
              </w:rPr>
              <w:t>Target Corporation</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right"/>
              <w:rPr>
                <w:rFonts w:ascii="Arial" w:eastAsia="Times New Roman" w:hAnsi="Arial" w:cs="Arial"/>
                <w:b/>
                <w:bCs/>
                <w:sz w:val="18"/>
                <w:szCs w:val="18"/>
                <w:u w:val="single"/>
              </w:rPr>
            </w:pPr>
            <w:r w:rsidRPr="001054BD">
              <w:rPr>
                <w:rFonts w:ascii="Arial" w:eastAsia="Times New Roman" w:hAnsi="Arial" w:cs="Arial"/>
                <w:b/>
                <w:bCs/>
                <w:sz w:val="18"/>
                <w:szCs w:val="18"/>
                <w:u w:val="single"/>
              </w:rPr>
              <w:t>2014</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right"/>
              <w:rPr>
                <w:rFonts w:ascii="Arial" w:eastAsia="Times New Roman" w:hAnsi="Arial" w:cs="Arial"/>
                <w:b/>
                <w:bCs/>
                <w:sz w:val="18"/>
                <w:szCs w:val="18"/>
                <w:u w:val="single"/>
              </w:rPr>
            </w:pPr>
            <w:r w:rsidRPr="001054BD">
              <w:rPr>
                <w:rFonts w:ascii="Arial" w:eastAsia="Times New Roman" w:hAnsi="Arial" w:cs="Arial"/>
                <w:b/>
                <w:bCs/>
                <w:sz w:val="18"/>
                <w:szCs w:val="18"/>
                <w:u w:val="single"/>
              </w:rPr>
              <w:t>2013</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right"/>
              <w:rPr>
                <w:rFonts w:ascii="Arial" w:eastAsia="Times New Roman" w:hAnsi="Arial" w:cs="Arial"/>
                <w:b/>
                <w:bCs/>
                <w:sz w:val="18"/>
                <w:szCs w:val="18"/>
                <w:u w:val="single"/>
              </w:rPr>
            </w:pPr>
            <w:r w:rsidRPr="001054BD">
              <w:rPr>
                <w:rFonts w:ascii="Arial" w:eastAsia="Times New Roman" w:hAnsi="Arial" w:cs="Arial"/>
                <w:b/>
                <w:bCs/>
                <w:sz w:val="18"/>
                <w:szCs w:val="18"/>
                <w:u w:val="single"/>
              </w:rPr>
              <w:t>2012</w:t>
            </w:r>
          </w:p>
        </w:tc>
        <w:tc>
          <w:tcPr>
            <w:tcW w:w="980" w:type="dxa"/>
            <w:tcBorders>
              <w:top w:val="nil"/>
              <w:left w:val="nil"/>
              <w:bottom w:val="nil"/>
              <w:right w:val="nil"/>
            </w:tcBorders>
            <w:shd w:val="clear" w:color="auto" w:fill="auto"/>
            <w:noWrap/>
            <w:vAlign w:val="bottom"/>
            <w:hideMark/>
          </w:tcPr>
          <w:p w:rsidR="001C7163" w:rsidRPr="001054BD" w:rsidRDefault="001C7163" w:rsidP="00CD48A1">
            <w:pPr>
              <w:jc w:val="right"/>
              <w:rPr>
                <w:rFonts w:ascii="Arial" w:eastAsia="Times New Roman" w:hAnsi="Arial" w:cs="Arial"/>
                <w:b/>
                <w:bCs/>
                <w:sz w:val="18"/>
                <w:szCs w:val="18"/>
                <w:u w:val="single"/>
              </w:rPr>
            </w:pPr>
            <w:r w:rsidRPr="001054BD">
              <w:rPr>
                <w:rFonts w:ascii="Arial" w:eastAsia="Times New Roman" w:hAnsi="Arial" w:cs="Arial"/>
                <w:b/>
                <w:bCs/>
                <w:sz w:val="18"/>
                <w:szCs w:val="18"/>
                <w:u w:val="single"/>
              </w:rPr>
              <w:t>2011</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Return on equity</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18.5%</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18.9%</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Return on total assets</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11.4%</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12.0%</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Operating profit margin</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4.2%</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4.3%</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Asset turnover</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1.50</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1.54</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Working capital </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2,162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7,143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Current (working capital) ratio</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1.151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1.709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Inventory turnover</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6.04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6.02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Days in inventory</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60.4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60.6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Accounts receivable turnover</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11.8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11.0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Days in accounts receivable</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30.96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33.33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Operating cycle</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91.35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93.96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Accounts payable turnover</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6.98</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6.90</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Days in accounts payable</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52.29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52.88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Net cash conversion cycle</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39.06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41.08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Debt to capital</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0.66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0.65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Debt to equity</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1.95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1.82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Times interest earned (earnings coverage)</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3.38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3.86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Cash flow adequacy</w:t>
            </w: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1.06 </w:t>
            </w:r>
          </w:p>
        </w:tc>
        <w:tc>
          <w:tcPr>
            <w:tcW w:w="98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1.93 </w:t>
            </w:r>
          </w:p>
        </w:tc>
      </w:tr>
    </w:tbl>
    <w:p w:rsidR="001C7163" w:rsidRDefault="001C7163" w:rsidP="001C7163">
      <w:r w:rsidRPr="00932369">
        <w:br w:type="page"/>
      </w:r>
    </w:p>
    <w:tbl>
      <w:tblPr>
        <w:tblW w:w="8260" w:type="dxa"/>
        <w:tblInd w:w="93" w:type="dxa"/>
        <w:tblLook w:val="04A0" w:firstRow="1" w:lastRow="0" w:firstColumn="1" w:lastColumn="0" w:noHBand="0" w:noVBand="1"/>
      </w:tblPr>
      <w:tblGrid>
        <w:gridCol w:w="4160"/>
        <w:gridCol w:w="1020"/>
        <w:gridCol w:w="1020"/>
        <w:gridCol w:w="1040"/>
        <w:gridCol w:w="1020"/>
      </w:tblGrid>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b/>
                <w:bCs/>
                <w:sz w:val="18"/>
                <w:szCs w:val="18"/>
              </w:rPr>
            </w:pPr>
            <w:r w:rsidRPr="00EB4B54">
              <w:rPr>
                <w:rFonts w:ascii="Arial" w:eastAsia="Times New Roman" w:hAnsi="Arial" w:cs="Arial"/>
                <w:b/>
                <w:bCs/>
                <w:sz w:val="18"/>
                <w:szCs w:val="18"/>
              </w:rPr>
              <w:lastRenderedPageBreak/>
              <w:t>Wal-Mart Stores</w:t>
            </w:r>
          </w:p>
        </w:tc>
        <w:tc>
          <w:tcPr>
            <w:tcW w:w="1020" w:type="dxa"/>
            <w:tcBorders>
              <w:top w:val="nil"/>
              <w:left w:val="nil"/>
              <w:bottom w:val="nil"/>
              <w:right w:val="nil"/>
            </w:tcBorders>
            <w:shd w:val="clear" w:color="auto" w:fill="auto"/>
            <w:noWrap/>
            <w:vAlign w:val="bottom"/>
            <w:hideMark/>
          </w:tcPr>
          <w:p w:rsidR="001C7163" w:rsidRPr="001054BD" w:rsidRDefault="001C7163" w:rsidP="00CD48A1">
            <w:pPr>
              <w:jc w:val="right"/>
              <w:rPr>
                <w:rFonts w:ascii="Arial" w:eastAsia="Times New Roman" w:hAnsi="Arial" w:cs="Arial"/>
                <w:b/>
                <w:bCs/>
                <w:sz w:val="18"/>
                <w:szCs w:val="18"/>
                <w:u w:val="single"/>
              </w:rPr>
            </w:pPr>
            <w:r w:rsidRPr="001054BD">
              <w:rPr>
                <w:rFonts w:ascii="Arial" w:eastAsia="Times New Roman" w:hAnsi="Arial" w:cs="Arial"/>
                <w:b/>
                <w:bCs/>
                <w:sz w:val="18"/>
                <w:szCs w:val="18"/>
                <w:u w:val="single"/>
              </w:rPr>
              <w:t>2014</w:t>
            </w:r>
          </w:p>
        </w:tc>
        <w:tc>
          <w:tcPr>
            <w:tcW w:w="1020" w:type="dxa"/>
            <w:tcBorders>
              <w:top w:val="nil"/>
              <w:left w:val="nil"/>
              <w:bottom w:val="nil"/>
              <w:right w:val="nil"/>
            </w:tcBorders>
            <w:shd w:val="clear" w:color="auto" w:fill="auto"/>
            <w:noWrap/>
            <w:vAlign w:val="bottom"/>
            <w:hideMark/>
          </w:tcPr>
          <w:p w:rsidR="001C7163" w:rsidRPr="001054BD" w:rsidRDefault="001C7163" w:rsidP="00CD48A1">
            <w:pPr>
              <w:jc w:val="right"/>
              <w:rPr>
                <w:rFonts w:ascii="Arial" w:eastAsia="Times New Roman" w:hAnsi="Arial" w:cs="Arial"/>
                <w:b/>
                <w:bCs/>
                <w:sz w:val="18"/>
                <w:szCs w:val="18"/>
                <w:u w:val="single"/>
              </w:rPr>
            </w:pPr>
            <w:r w:rsidRPr="001054BD">
              <w:rPr>
                <w:rFonts w:ascii="Arial" w:eastAsia="Times New Roman" w:hAnsi="Arial" w:cs="Arial"/>
                <w:b/>
                <w:bCs/>
                <w:sz w:val="18"/>
                <w:szCs w:val="18"/>
                <w:u w:val="single"/>
              </w:rPr>
              <w:t>2013</w:t>
            </w:r>
          </w:p>
        </w:tc>
        <w:tc>
          <w:tcPr>
            <w:tcW w:w="1040" w:type="dxa"/>
            <w:tcBorders>
              <w:top w:val="nil"/>
              <w:left w:val="nil"/>
              <w:bottom w:val="nil"/>
              <w:right w:val="nil"/>
            </w:tcBorders>
            <w:shd w:val="clear" w:color="auto" w:fill="auto"/>
            <w:noWrap/>
            <w:vAlign w:val="bottom"/>
            <w:hideMark/>
          </w:tcPr>
          <w:p w:rsidR="001C7163" w:rsidRPr="001054BD" w:rsidRDefault="001C7163" w:rsidP="00CD48A1">
            <w:pPr>
              <w:jc w:val="right"/>
              <w:rPr>
                <w:rFonts w:ascii="Arial" w:eastAsia="Times New Roman" w:hAnsi="Arial" w:cs="Arial"/>
                <w:b/>
                <w:bCs/>
                <w:sz w:val="18"/>
                <w:szCs w:val="18"/>
                <w:u w:val="single"/>
              </w:rPr>
            </w:pPr>
            <w:r w:rsidRPr="001054BD">
              <w:rPr>
                <w:rFonts w:ascii="Arial" w:eastAsia="Times New Roman" w:hAnsi="Arial" w:cs="Arial"/>
                <w:b/>
                <w:bCs/>
                <w:sz w:val="18"/>
                <w:szCs w:val="18"/>
                <w:u w:val="single"/>
              </w:rPr>
              <w:t>2012</w:t>
            </w:r>
          </w:p>
        </w:tc>
        <w:tc>
          <w:tcPr>
            <w:tcW w:w="1020" w:type="dxa"/>
            <w:tcBorders>
              <w:top w:val="nil"/>
              <w:left w:val="nil"/>
              <w:bottom w:val="nil"/>
              <w:right w:val="nil"/>
            </w:tcBorders>
            <w:shd w:val="clear" w:color="auto" w:fill="auto"/>
            <w:noWrap/>
            <w:vAlign w:val="bottom"/>
            <w:hideMark/>
          </w:tcPr>
          <w:p w:rsidR="001C7163" w:rsidRPr="001054BD" w:rsidRDefault="001C7163" w:rsidP="00CD48A1">
            <w:pPr>
              <w:jc w:val="right"/>
              <w:rPr>
                <w:rFonts w:ascii="Arial" w:eastAsia="Times New Roman" w:hAnsi="Arial" w:cs="Arial"/>
                <w:b/>
                <w:bCs/>
                <w:sz w:val="18"/>
                <w:szCs w:val="18"/>
                <w:u w:val="single"/>
              </w:rPr>
            </w:pPr>
            <w:r w:rsidRPr="001054BD">
              <w:rPr>
                <w:rFonts w:ascii="Arial" w:eastAsia="Times New Roman" w:hAnsi="Arial" w:cs="Arial"/>
                <w:b/>
                <w:bCs/>
                <w:sz w:val="18"/>
                <w:szCs w:val="18"/>
                <w:u w:val="single"/>
              </w:rPr>
              <w:t>2011</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Return on equity</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20.7%</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23.0%</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Return on total assets</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13.7%</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14.1%</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Operating profit margin</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3.5%</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3.9%</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Asset turnover</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2.31</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2.34</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Working capital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(7,325)</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(6,591)</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Current (working capital) ratio</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0.882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0.887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Inventory turnover</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8.23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8.68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Days in inventory</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44.3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42.0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Accounts receivable turnover</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75.3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82.9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Days in accounts receivable</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4.85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4.40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Operating cycle</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49.19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46.45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Accounts payable turnover</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9.15</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jc w:val="right"/>
              <w:rPr>
                <w:rFonts w:ascii="Arial" w:eastAsia="Times New Roman" w:hAnsi="Arial" w:cs="Arial"/>
                <w:sz w:val="18"/>
                <w:szCs w:val="18"/>
              </w:rPr>
            </w:pPr>
            <w:r w:rsidRPr="00EB4B54">
              <w:rPr>
                <w:rFonts w:ascii="Arial" w:eastAsia="Times New Roman" w:hAnsi="Arial" w:cs="Arial"/>
                <w:sz w:val="18"/>
                <w:szCs w:val="18"/>
              </w:rPr>
              <w:t>9.40</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Days in accounts payable</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39.87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 xml:space="preserve">      38.85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Net cash conversion cycle</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9.32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7.60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Debt to capital</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0.61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0.61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Debt to equity</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1.55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1.54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Times interest earned (earnings coverage)</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7.27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8.18 </w:t>
            </w:r>
          </w:p>
        </w:tc>
      </w:tr>
      <w:tr w:rsidR="001C7163" w:rsidRPr="00EB4B54" w:rsidTr="00CD48A1">
        <w:trPr>
          <w:trHeight w:val="300"/>
        </w:trPr>
        <w:tc>
          <w:tcPr>
            <w:tcW w:w="416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sz w:val="18"/>
                <w:szCs w:val="18"/>
              </w:rPr>
            </w:pPr>
            <w:r w:rsidRPr="00EB4B54">
              <w:rPr>
                <w:rFonts w:ascii="Arial" w:eastAsia="Times New Roman" w:hAnsi="Arial" w:cs="Arial"/>
                <w:sz w:val="18"/>
                <w:szCs w:val="18"/>
              </w:rPr>
              <w:t>Cash flow adequacy</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p>
        </w:tc>
        <w:tc>
          <w:tcPr>
            <w:tcW w:w="104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1.31 </w:t>
            </w:r>
          </w:p>
        </w:tc>
        <w:tc>
          <w:tcPr>
            <w:tcW w:w="1020" w:type="dxa"/>
            <w:tcBorders>
              <w:top w:val="nil"/>
              <w:left w:val="nil"/>
              <w:bottom w:val="nil"/>
              <w:right w:val="nil"/>
            </w:tcBorders>
            <w:shd w:val="clear" w:color="auto" w:fill="auto"/>
            <w:noWrap/>
            <w:vAlign w:val="bottom"/>
            <w:hideMark/>
          </w:tcPr>
          <w:p w:rsidR="001C7163" w:rsidRPr="00EB4B54" w:rsidRDefault="001C7163" w:rsidP="00CD48A1">
            <w:pPr>
              <w:rPr>
                <w:rFonts w:ascii="Arial" w:eastAsia="Times New Roman" w:hAnsi="Arial" w:cs="Arial"/>
                <w:color w:val="000000"/>
                <w:sz w:val="18"/>
                <w:szCs w:val="18"/>
              </w:rPr>
            </w:pPr>
            <w:r w:rsidRPr="00EB4B54">
              <w:rPr>
                <w:rFonts w:ascii="Arial" w:eastAsia="Times New Roman" w:hAnsi="Arial" w:cs="Arial"/>
                <w:color w:val="000000"/>
                <w:sz w:val="18"/>
                <w:szCs w:val="18"/>
              </w:rPr>
              <w:t xml:space="preserve">       1.38 </w:t>
            </w:r>
          </w:p>
        </w:tc>
      </w:tr>
    </w:tbl>
    <w:p w:rsidR="001C7163" w:rsidRDefault="001C7163" w:rsidP="001C7163">
      <w:pPr>
        <w:rPr>
          <w:sz w:val="16"/>
          <w:szCs w:val="16"/>
        </w:rPr>
      </w:pPr>
    </w:p>
    <w:p w:rsidR="001C7163" w:rsidRDefault="001C7163" w:rsidP="001C7163">
      <w:pPr>
        <w:rPr>
          <w:sz w:val="16"/>
          <w:szCs w:val="16"/>
        </w:rPr>
      </w:pPr>
    </w:p>
    <w:p w:rsidR="002602D4" w:rsidRDefault="001C7163">
      <w:r w:rsidRPr="00C26763">
        <w:rPr>
          <w:b/>
        </w:rPr>
        <w:t>Required</w:t>
      </w:r>
      <w:r>
        <w:t xml:space="preserve">: (2) Decide whether Target should retain or fire its chief executive officer. Write your rationale for the recommendation that you will read to Target’s Board of Directors. </w:t>
      </w:r>
    </w:p>
    <w:p w:rsidR="002602D4" w:rsidRDefault="002602D4">
      <w:bookmarkStart w:id="1" w:name="_GoBack"/>
      <w:bookmarkEnd w:id="1"/>
    </w:p>
    <w:sectPr w:rsidR="002602D4" w:rsidSect="003D54BA">
      <w:footerReference w:type="default" r:id="rId8"/>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AA2" w:rsidRDefault="00300AA2" w:rsidP="00951E40">
      <w:pPr>
        <w:spacing w:after="0" w:line="240" w:lineRule="auto"/>
      </w:pPr>
      <w:r>
        <w:separator/>
      </w:r>
    </w:p>
  </w:endnote>
  <w:endnote w:type="continuationSeparator" w:id="0">
    <w:p w:rsidR="00300AA2" w:rsidRDefault="00300AA2" w:rsidP="0095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CA1" w:rsidRDefault="00B62CA1">
    <w:pPr>
      <w:pStyle w:val="Footer"/>
      <w:jc w:val="center"/>
    </w:pPr>
    <w:r>
      <w:fldChar w:fldCharType="begin"/>
    </w:r>
    <w:r>
      <w:instrText xml:space="preserve"> PAGE   \* MERGEFORMAT </w:instrText>
    </w:r>
    <w:r>
      <w:fldChar w:fldCharType="separate"/>
    </w:r>
    <w:r w:rsidR="002602D4">
      <w:rPr>
        <w:noProof/>
      </w:rPr>
      <w:t>5</w:t>
    </w:r>
    <w:r>
      <w:fldChar w:fldCharType="end"/>
    </w:r>
  </w:p>
  <w:p w:rsidR="00B62CA1" w:rsidRDefault="00B6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AA2" w:rsidRDefault="00300AA2" w:rsidP="00951E40">
      <w:pPr>
        <w:spacing w:after="0" w:line="240" w:lineRule="auto"/>
      </w:pPr>
      <w:r>
        <w:separator/>
      </w:r>
    </w:p>
  </w:footnote>
  <w:footnote w:type="continuationSeparator" w:id="0">
    <w:p w:rsidR="00300AA2" w:rsidRDefault="00300AA2" w:rsidP="00951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510D9"/>
    <w:multiLevelType w:val="hybridMultilevel"/>
    <w:tmpl w:val="EC14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15190"/>
    <w:multiLevelType w:val="hybridMultilevel"/>
    <w:tmpl w:val="718C98B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EC5059"/>
    <w:multiLevelType w:val="hybridMultilevel"/>
    <w:tmpl w:val="3DDC7C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F903D8"/>
    <w:multiLevelType w:val="hybridMultilevel"/>
    <w:tmpl w:val="41720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B19BB"/>
    <w:multiLevelType w:val="hybridMultilevel"/>
    <w:tmpl w:val="A0BE3BB0"/>
    <w:lvl w:ilvl="0" w:tplc="EF040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81117"/>
    <w:multiLevelType w:val="hybridMultilevel"/>
    <w:tmpl w:val="85F47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81487"/>
    <w:multiLevelType w:val="hybridMultilevel"/>
    <w:tmpl w:val="5F6AF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212F44"/>
    <w:multiLevelType w:val="hybridMultilevel"/>
    <w:tmpl w:val="E57A0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F51F9"/>
    <w:multiLevelType w:val="hybridMultilevel"/>
    <w:tmpl w:val="FD149B2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A5F8C"/>
    <w:multiLevelType w:val="hybridMultilevel"/>
    <w:tmpl w:val="72627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92B27"/>
    <w:multiLevelType w:val="hybridMultilevel"/>
    <w:tmpl w:val="7514021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952CE4"/>
    <w:multiLevelType w:val="hybridMultilevel"/>
    <w:tmpl w:val="A6A8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B2A14"/>
    <w:multiLevelType w:val="hybridMultilevel"/>
    <w:tmpl w:val="03C047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96E6A"/>
    <w:multiLevelType w:val="hybridMultilevel"/>
    <w:tmpl w:val="42C4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C2907"/>
    <w:multiLevelType w:val="hybridMultilevel"/>
    <w:tmpl w:val="33E2E4B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27F4F88"/>
    <w:multiLevelType w:val="hybridMultilevel"/>
    <w:tmpl w:val="90BA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D2E74"/>
    <w:multiLevelType w:val="hybridMultilevel"/>
    <w:tmpl w:val="945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FA1963"/>
    <w:multiLevelType w:val="hybridMultilevel"/>
    <w:tmpl w:val="1BE2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510DD"/>
    <w:multiLevelType w:val="hybridMultilevel"/>
    <w:tmpl w:val="2D10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C4358"/>
    <w:multiLevelType w:val="hybridMultilevel"/>
    <w:tmpl w:val="961A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3"/>
  </w:num>
  <w:num w:numId="4">
    <w:abstractNumId w:val="0"/>
  </w:num>
  <w:num w:numId="5">
    <w:abstractNumId w:val="17"/>
  </w:num>
  <w:num w:numId="6">
    <w:abstractNumId w:val="13"/>
  </w:num>
  <w:num w:numId="7">
    <w:abstractNumId w:val="15"/>
  </w:num>
  <w:num w:numId="8">
    <w:abstractNumId w:val="19"/>
  </w:num>
  <w:num w:numId="9">
    <w:abstractNumId w:val="6"/>
  </w:num>
  <w:num w:numId="10">
    <w:abstractNumId w:val="2"/>
  </w:num>
  <w:num w:numId="11">
    <w:abstractNumId w:val="12"/>
  </w:num>
  <w:num w:numId="12">
    <w:abstractNumId w:val="8"/>
  </w:num>
  <w:num w:numId="13">
    <w:abstractNumId w:val="14"/>
  </w:num>
  <w:num w:numId="14">
    <w:abstractNumId w:val="1"/>
  </w:num>
  <w:num w:numId="15">
    <w:abstractNumId w:val="4"/>
  </w:num>
  <w:num w:numId="16">
    <w:abstractNumId w:val="10"/>
  </w:num>
  <w:num w:numId="17">
    <w:abstractNumId w:val="5"/>
  </w:num>
  <w:num w:numId="18">
    <w:abstractNumId w:val="9"/>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E40"/>
    <w:rsid w:val="00021E14"/>
    <w:rsid w:val="001879A9"/>
    <w:rsid w:val="001C7163"/>
    <w:rsid w:val="002602D4"/>
    <w:rsid w:val="00280D64"/>
    <w:rsid w:val="002A2312"/>
    <w:rsid w:val="002F44F6"/>
    <w:rsid w:val="00300AA2"/>
    <w:rsid w:val="00313646"/>
    <w:rsid w:val="003210F2"/>
    <w:rsid w:val="00366B44"/>
    <w:rsid w:val="00384931"/>
    <w:rsid w:val="003C40E6"/>
    <w:rsid w:val="003D54BA"/>
    <w:rsid w:val="0045309E"/>
    <w:rsid w:val="004F6839"/>
    <w:rsid w:val="00585993"/>
    <w:rsid w:val="00635477"/>
    <w:rsid w:val="00657F38"/>
    <w:rsid w:val="006F704C"/>
    <w:rsid w:val="00752D32"/>
    <w:rsid w:val="007D4E98"/>
    <w:rsid w:val="008304F9"/>
    <w:rsid w:val="00883755"/>
    <w:rsid w:val="008F5139"/>
    <w:rsid w:val="00951E40"/>
    <w:rsid w:val="00965EC5"/>
    <w:rsid w:val="009B1426"/>
    <w:rsid w:val="009B2FD4"/>
    <w:rsid w:val="00A859D9"/>
    <w:rsid w:val="00AA191F"/>
    <w:rsid w:val="00B01294"/>
    <w:rsid w:val="00B02A43"/>
    <w:rsid w:val="00B62CA1"/>
    <w:rsid w:val="00B7166B"/>
    <w:rsid w:val="00B7326C"/>
    <w:rsid w:val="00C77DBC"/>
    <w:rsid w:val="00CB05A7"/>
    <w:rsid w:val="00E27F6A"/>
    <w:rsid w:val="00E30527"/>
    <w:rsid w:val="00ED521A"/>
    <w:rsid w:val="00F15995"/>
    <w:rsid w:val="00F40F5C"/>
    <w:rsid w:val="00F7197A"/>
    <w:rsid w:val="00FC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EC26"/>
  <w15:docId w15:val="{372E3050-AB5E-490F-A1F2-094F718E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1E40"/>
    <w:pPr>
      <w:spacing w:after="200" w:line="276"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51E40"/>
    <w:rPr>
      <w:rFonts w:eastAsia="Calibri"/>
      <w:szCs w:val="20"/>
    </w:rPr>
  </w:style>
  <w:style w:type="character" w:customStyle="1" w:styleId="NoSpacingChar">
    <w:name w:val="No Spacing Char"/>
    <w:basedOn w:val="DefaultParagraphFont"/>
    <w:link w:val="NoSpacing"/>
    <w:uiPriority w:val="1"/>
    <w:locked/>
    <w:rsid w:val="00951E40"/>
    <w:rPr>
      <w:rFonts w:eastAsia="Calibri"/>
      <w:szCs w:val="20"/>
    </w:rPr>
  </w:style>
  <w:style w:type="character" w:styleId="EndnoteReference">
    <w:name w:val="endnote reference"/>
    <w:basedOn w:val="DefaultParagraphFont"/>
    <w:semiHidden/>
    <w:rsid w:val="00951E40"/>
    <w:rPr>
      <w:vertAlign w:val="superscript"/>
    </w:rPr>
  </w:style>
  <w:style w:type="paragraph" w:styleId="EndnoteText">
    <w:name w:val="endnote text"/>
    <w:basedOn w:val="Normal"/>
    <w:link w:val="EndnoteTextChar"/>
    <w:semiHidden/>
    <w:rsid w:val="00951E40"/>
    <w:pPr>
      <w:widowControl w:val="0"/>
      <w:spacing w:after="0" w:line="240" w:lineRule="auto"/>
    </w:pPr>
    <w:rPr>
      <w:rFonts w:ascii="Courier" w:eastAsia="Times New Roman" w:hAnsi="Courier"/>
      <w:snapToGrid w:val="0"/>
      <w:sz w:val="24"/>
      <w:szCs w:val="20"/>
    </w:rPr>
  </w:style>
  <w:style w:type="character" w:customStyle="1" w:styleId="EndnoteTextChar">
    <w:name w:val="Endnote Text Char"/>
    <w:basedOn w:val="DefaultParagraphFont"/>
    <w:link w:val="EndnoteText"/>
    <w:semiHidden/>
    <w:rsid w:val="00951E40"/>
    <w:rPr>
      <w:rFonts w:ascii="Courier" w:eastAsia="Times New Roman" w:hAnsi="Courier"/>
      <w:snapToGrid w:val="0"/>
      <w:sz w:val="24"/>
      <w:szCs w:val="20"/>
    </w:rPr>
  </w:style>
  <w:style w:type="paragraph" w:styleId="Footer">
    <w:name w:val="footer"/>
    <w:basedOn w:val="Normal"/>
    <w:link w:val="FooterChar"/>
    <w:uiPriority w:val="99"/>
    <w:rsid w:val="00951E40"/>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951E40"/>
    <w:rPr>
      <w:rFonts w:eastAsia="Times New Roman"/>
    </w:rPr>
  </w:style>
  <w:style w:type="table" w:styleId="TableGrid">
    <w:name w:val="Table Grid"/>
    <w:basedOn w:val="TableNormal"/>
    <w:uiPriority w:val="59"/>
    <w:rsid w:val="00951E40"/>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1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E40"/>
    <w:rPr>
      <w:rFonts w:ascii="Tahoma" w:eastAsia="Calibri" w:hAnsi="Tahoma" w:cs="Tahoma"/>
      <w:sz w:val="16"/>
      <w:szCs w:val="16"/>
    </w:rPr>
  </w:style>
  <w:style w:type="character" w:customStyle="1" w:styleId="apple-converted-space">
    <w:name w:val="apple-converted-space"/>
    <w:basedOn w:val="DefaultParagraphFont"/>
    <w:rsid w:val="00951E40"/>
  </w:style>
  <w:style w:type="character" w:styleId="Hyperlink">
    <w:name w:val="Hyperlink"/>
    <w:basedOn w:val="DefaultParagraphFont"/>
    <w:uiPriority w:val="99"/>
    <w:semiHidden/>
    <w:unhideWhenUsed/>
    <w:rsid w:val="00951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2FC10DD-8861-4FF9-A00A-F5CDE6DC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paramitab</cp:lastModifiedBy>
  <cp:revision>3</cp:revision>
  <dcterms:created xsi:type="dcterms:W3CDTF">2017-04-16T04:46:00Z</dcterms:created>
  <dcterms:modified xsi:type="dcterms:W3CDTF">2017-04-16T04:47:00Z</dcterms:modified>
</cp:coreProperties>
</file>